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bookmarkStart w:name="Alternatívne riešenie sporov" w:id="1"/>
      <w:bookmarkEnd w:id="1"/>
      <w:r>
        <w:rPr>
          <w:b w:val="0"/>
        </w:rPr>
      </w:r>
      <w:r>
        <w:rPr>
          <w:w w:val="115"/>
        </w:rPr>
        <w:t>Reklamačný</w:t>
      </w:r>
      <w:r>
        <w:rPr>
          <w:spacing w:val="-7"/>
          <w:w w:val="115"/>
        </w:rPr>
        <w:t> </w:t>
      </w:r>
      <w:r>
        <w:rPr>
          <w:w w:val="115"/>
        </w:rPr>
        <w:t>poriadok</w:t>
      </w:r>
      <w:r>
        <w:rPr>
          <w:spacing w:val="-6"/>
          <w:w w:val="115"/>
        </w:rPr>
        <w:t> </w:t>
      </w:r>
      <w:r>
        <w:rPr>
          <w:spacing w:val="-2"/>
          <w:w w:val="115"/>
        </w:rPr>
        <w:t>AutoCasa.sk</w:t>
      </w:r>
    </w:p>
    <w:p>
      <w:pPr>
        <w:spacing w:before="275"/>
        <w:ind w:left="0" w:right="0" w:firstLine="0"/>
        <w:jc w:val="center"/>
        <w:rPr>
          <w:sz w:val="22"/>
        </w:rPr>
      </w:pPr>
      <w:r>
        <w:rPr>
          <w:w w:val="105"/>
          <w:sz w:val="22"/>
        </w:rPr>
        <w:t>(Verzia</w:t>
      </w:r>
      <w:r>
        <w:rPr>
          <w:spacing w:val="15"/>
          <w:w w:val="105"/>
          <w:sz w:val="22"/>
        </w:rPr>
        <w:t> </w:t>
      </w:r>
      <w:r>
        <w:rPr>
          <w:w w:val="105"/>
          <w:sz w:val="22"/>
        </w:rPr>
        <w:t>1.0,</w:t>
      </w:r>
      <w:r>
        <w:rPr>
          <w:spacing w:val="16"/>
          <w:w w:val="105"/>
          <w:sz w:val="22"/>
        </w:rPr>
        <w:t> </w:t>
      </w:r>
      <w:r>
        <w:rPr>
          <w:w w:val="105"/>
          <w:sz w:val="22"/>
        </w:rPr>
        <w:t>účinná</w:t>
      </w:r>
      <w:r>
        <w:rPr>
          <w:spacing w:val="16"/>
          <w:w w:val="105"/>
          <w:sz w:val="22"/>
        </w:rPr>
        <w:t> </w:t>
      </w:r>
      <w:r>
        <w:rPr>
          <w:w w:val="105"/>
          <w:sz w:val="22"/>
        </w:rPr>
        <w:t>od</w:t>
      </w:r>
      <w:r>
        <w:rPr>
          <w:spacing w:val="16"/>
          <w:w w:val="105"/>
          <w:sz w:val="22"/>
        </w:rPr>
        <w:t> </w:t>
      </w:r>
      <w:r>
        <w:rPr>
          <w:w w:val="105"/>
          <w:sz w:val="22"/>
        </w:rPr>
        <w:t>6.</w:t>
      </w:r>
      <w:r>
        <w:rPr>
          <w:spacing w:val="16"/>
          <w:w w:val="105"/>
          <w:sz w:val="22"/>
        </w:rPr>
        <w:t> </w:t>
      </w:r>
      <w:r>
        <w:rPr>
          <w:w w:val="105"/>
          <w:sz w:val="22"/>
        </w:rPr>
        <w:t>mája</w:t>
      </w:r>
      <w:r>
        <w:rPr>
          <w:spacing w:val="16"/>
          <w:w w:val="105"/>
          <w:sz w:val="22"/>
        </w:rPr>
        <w:t> </w:t>
      </w:r>
      <w:r>
        <w:rPr>
          <w:spacing w:val="-2"/>
          <w:w w:val="105"/>
          <w:sz w:val="22"/>
        </w:rPr>
        <w:t>2025)</w:t>
      </w:r>
    </w:p>
    <w:p>
      <w:pPr>
        <w:pStyle w:val="BodyText"/>
        <w:ind w:left="0" w:firstLine="0"/>
        <w:rPr>
          <w:sz w:val="22"/>
        </w:rPr>
      </w:pPr>
    </w:p>
    <w:p>
      <w:pPr>
        <w:pStyle w:val="BodyText"/>
        <w:ind w:left="0" w:firstLine="0"/>
        <w:rPr>
          <w:sz w:val="22"/>
        </w:rPr>
      </w:pPr>
    </w:p>
    <w:p>
      <w:pPr>
        <w:pStyle w:val="BodyText"/>
        <w:spacing w:before="218"/>
        <w:ind w:left="0" w:firstLine="0"/>
        <w:rPr>
          <w:sz w:val="22"/>
        </w:rPr>
      </w:pPr>
    </w:p>
    <w:p>
      <w:pPr>
        <w:pStyle w:val="Heading1"/>
        <w:numPr>
          <w:ilvl w:val="0"/>
          <w:numId w:val="1"/>
        </w:numPr>
        <w:tabs>
          <w:tab w:pos="590" w:val="left" w:leader="none"/>
        </w:tabs>
        <w:spacing w:line="240" w:lineRule="auto" w:before="1" w:after="0"/>
        <w:ind w:left="590" w:right="0" w:hanging="448"/>
        <w:jc w:val="left"/>
      </w:pPr>
      <w:bookmarkStart w:name="Úvod" w:id="2"/>
      <w:bookmarkEnd w:id="2"/>
      <w:r>
        <w:rPr>
          <w:b w:val="0"/>
        </w:rPr>
      </w:r>
      <w:r>
        <w:rPr>
          <w:spacing w:val="-4"/>
          <w:w w:val="120"/>
        </w:rPr>
        <w:t>Úvod</w:t>
      </w:r>
    </w:p>
    <w:p>
      <w:pPr>
        <w:pStyle w:val="ListParagraph"/>
        <w:numPr>
          <w:ilvl w:val="1"/>
          <w:numId w:val="1"/>
        </w:numPr>
        <w:tabs>
          <w:tab w:pos="740" w:val="left" w:leader="none"/>
        </w:tabs>
        <w:spacing w:line="252" w:lineRule="auto" w:before="241" w:after="0"/>
        <w:ind w:left="740" w:right="140" w:hanging="302"/>
        <w:jc w:val="both"/>
        <w:rPr>
          <w:sz w:val="24"/>
        </w:rPr>
      </w:pPr>
      <w:r>
        <w:rPr>
          <w:w w:val="105"/>
          <w:sz w:val="24"/>
        </w:rPr>
        <w:t>Tento Reklamačný poriadok upravuje postup podávania a vybavovania reklamácií </w:t>
      </w:r>
      <w:r>
        <w:rPr>
          <w:spacing w:val="-2"/>
          <w:w w:val="105"/>
          <w:sz w:val="24"/>
        </w:rPr>
        <w:t>týkajúcich</w:t>
      </w:r>
      <w:r>
        <w:rPr>
          <w:spacing w:val="-4"/>
          <w:w w:val="105"/>
          <w:sz w:val="24"/>
        </w:rPr>
        <w:t> </w:t>
      </w:r>
      <w:r>
        <w:rPr>
          <w:spacing w:val="-2"/>
          <w:w w:val="105"/>
          <w:sz w:val="24"/>
        </w:rPr>
        <w:t>sa</w:t>
      </w:r>
      <w:r>
        <w:rPr>
          <w:spacing w:val="-4"/>
          <w:w w:val="105"/>
          <w:sz w:val="24"/>
        </w:rPr>
        <w:t> </w:t>
      </w:r>
      <w:r>
        <w:rPr>
          <w:spacing w:val="-2"/>
          <w:w w:val="105"/>
          <w:sz w:val="24"/>
        </w:rPr>
        <w:t>služieb</w:t>
      </w:r>
      <w:r>
        <w:rPr>
          <w:spacing w:val="-4"/>
          <w:w w:val="105"/>
          <w:sz w:val="24"/>
        </w:rPr>
        <w:t> </w:t>
      </w:r>
      <w:r>
        <w:rPr>
          <w:spacing w:val="-2"/>
          <w:w w:val="105"/>
          <w:sz w:val="24"/>
        </w:rPr>
        <w:t>poskytovaných</w:t>
      </w:r>
      <w:r>
        <w:rPr>
          <w:spacing w:val="-4"/>
          <w:w w:val="105"/>
          <w:sz w:val="24"/>
        </w:rPr>
        <w:t> </w:t>
      </w:r>
      <w:r>
        <w:rPr>
          <w:spacing w:val="-2"/>
          <w:w w:val="105"/>
          <w:sz w:val="24"/>
        </w:rPr>
        <w:t>na</w:t>
      </w:r>
      <w:r>
        <w:rPr>
          <w:spacing w:val="-4"/>
          <w:w w:val="105"/>
          <w:sz w:val="24"/>
        </w:rPr>
        <w:t> </w:t>
      </w:r>
      <w:r>
        <w:rPr>
          <w:spacing w:val="-2"/>
          <w:w w:val="105"/>
          <w:sz w:val="24"/>
        </w:rPr>
        <w:t>internetovom</w:t>
      </w:r>
      <w:r>
        <w:rPr>
          <w:spacing w:val="-4"/>
          <w:w w:val="105"/>
          <w:sz w:val="24"/>
        </w:rPr>
        <w:t> </w:t>
      </w:r>
      <w:r>
        <w:rPr>
          <w:spacing w:val="-2"/>
          <w:w w:val="105"/>
          <w:sz w:val="24"/>
        </w:rPr>
        <w:t>portáli</w:t>
      </w:r>
      <w:r>
        <w:rPr>
          <w:spacing w:val="-4"/>
          <w:w w:val="105"/>
          <w:sz w:val="24"/>
        </w:rPr>
        <w:t> </w:t>
      </w:r>
      <w:hyperlink r:id="rId6">
        <w:r>
          <w:rPr>
            <w:spacing w:val="-2"/>
            <w:w w:val="105"/>
            <w:sz w:val="24"/>
          </w:rPr>
          <w:t>www.autocasa.sk</w:t>
        </w:r>
      </w:hyperlink>
      <w:r>
        <w:rPr>
          <w:spacing w:val="-4"/>
          <w:w w:val="105"/>
          <w:sz w:val="24"/>
        </w:rPr>
        <w:t> </w:t>
      </w:r>
      <w:r>
        <w:rPr>
          <w:spacing w:val="-2"/>
          <w:w w:val="105"/>
          <w:sz w:val="24"/>
        </w:rPr>
        <w:t>(ďalej len</w:t>
      </w:r>
      <w:r>
        <w:rPr>
          <w:spacing w:val="-9"/>
          <w:w w:val="105"/>
          <w:sz w:val="24"/>
        </w:rPr>
        <w:t> </w:t>
      </w:r>
      <w:r>
        <w:rPr>
          <w:spacing w:val="-2"/>
          <w:w w:val="105"/>
          <w:sz w:val="24"/>
        </w:rPr>
        <w:t>„Portál“)</w:t>
      </w:r>
      <w:r>
        <w:rPr>
          <w:spacing w:val="-10"/>
          <w:w w:val="105"/>
          <w:sz w:val="24"/>
        </w:rPr>
        <w:t> </w:t>
      </w:r>
      <w:r>
        <w:rPr>
          <w:spacing w:val="-2"/>
          <w:w w:val="105"/>
          <w:sz w:val="24"/>
        </w:rPr>
        <w:t>v</w:t>
      </w:r>
      <w:r>
        <w:rPr>
          <w:spacing w:val="-9"/>
          <w:w w:val="105"/>
          <w:sz w:val="24"/>
        </w:rPr>
        <w:t> </w:t>
      </w:r>
      <w:r>
        <w:rPr>
          <w:spacing w:val="-2"/>
          <w:w w:val="105"/>
          <w:sz w:val="24"/>
        </w:rPr>
        <w:t>súlade</w:t>
      </w:r>
      <w:r>
        <w:rPr>
          <w:spacing w:val="-9"/>
          <w:w w:val="105"/>
          <w:sz w:val="24"/>
        </w:rPr>
        <w:t> </w:t>
      </w:r>
      <w:r>
        <w:rPr>
          <w:spacing w:val="-2"/>
          <w:w w:val="105"/>
          <w:sz w:val="24"/>
        </w:rPr>
        <w:t>so</w:t>
      </w:r>
      <w:r>
        <w:rPr>
          <w:spacing w:val="-9"/>
          <w:w w:val="105"/>
          <w:sz w:val="24"/>
        </w:rPr>
        <w:t> </w:t>
      </w:r>
      <w:r>
        <w:rPr>
          <w:spacing w:val="-2"/>
          <w:w w:val="105"/>
          <w:sz w:val="24"/>
        </w:rPr>
        <w:t>zákonom</w:t>
      </w:r>
      <w:r>
        <w:rPr>
          <w:spacing w:val="-9"/>
          <w:w w:val="105"/>
          <w:sz w:val="24"/>
        </w:rPr>
        <w:t> </w:t>
      </w:r>
      <w:r>
        <w:rPr>
          <w:spacing w:val="-2"/>
          <w:w w:val="105"/>
          <w:sz w:val="24"/>
        </w:rPr>
        <w:t>č.</w:t>
      </w:r>
      <w:r>
        <w:rPr>
          <w:spacing w:val="-9"/>
          <w:w w:val="105"/>
          <w:sz w:val="24"/>
        </w:rPr>
        <w:t> </w:t>
      </w:r>
      <w:r>
        <w:rPr>
          <w:spacing w:val="-2"/>
          <w:w w:val="105"/>
          <w:sz w:val="24"/>
        </w:rPr>
        <w:t>102/2014</w:t>
      </w:r>
      <w:r>
        <w:rPr>
          <w:spacing w:val="-9"/>
          <w:w w:val="105"/>
          <w:sz w:val="24"/>
        </w:rPr>
        <w:t> </w:t>
      </w:r>
      <w:r>
        <w:rPr>
          <w:spacing w:val="-2"/>
          <w:w w:val="105"/>
          <w:sz w:val="24"/>
        </w:rPr>
        <w:t>Z.</w:t>
      </w:r>
      <w:r>
        <w:rPr>
          <w:spacing w:val="-9"/>
          <w:w w:val="105"/>
          <w:sz w:val="24"/>
        </w:rPr>
        <w:t> </w:t>
      </w:r>
      <w:r>
        <w:rPr>
          <w:spacing w:val="-2"/>
          <w:w w:val="105"/>
          <w:sz w:val="24"/>
        </w:rPr>
        <w:t>z.</w:t>
      </w:r>
      <w:r>
        <w:rPr>
          <w:spacing w:val="-9"/>
          <w:w w:val="105"/>
          <w:sz w:val="24"/>
        </w:rPr>
        <w:t> </w:t>
      </w:r>
      <w:r>
        <w:rPr>
          <w:spacing w:val="-2"/>
          <w:w w:val="105"/>
          <w:sz w:val="24"/>
        </w:rPr>
        <w:t>o</w:t>
      </w:r>
      <w:r>
        <w:rPr>
          <w:spacing w:val="-9"/>
          <w:w w:val="105"/>
          <w:sz w:val="24"/>
        </w:rPr>
        <w:t> </w:t>
      </w:r>
      <w:r>
        <w:rPr>
          <w:spacing w:val="-2"/>
          <w:w w:val="105"/>
          <w:sz w:val="24"/>
        </w:rPr>
        <w:t>ochrane</w:t>
      </w:r>
      <w:r>
        <w:rPr>
          <w:spacing w:val="-9"/>
          <w:w w:val="105"/>
          <w:sz w:val="24"/>
        </w:rPr>
        <w:t> </w:t>
      </w:r>
      <w:r>
        <w:rPr>
          <w:spacing w:val="-2"/>
          <w:w w:val="105"/>
          <w:sz w:val="24"/>
        </w:rPr>
        <w:t>spotrebiteľa</w:t>
      </w:r>
      <w:r>
        <w:rPr>
          <w:spacing w:val="-9"/>
          <w:w w:val="105"/>
          <w:sz w:val="24"/>
        </w:rPr>
        <w:t> </w:t>
      </w:r>
      <w:r>
        <w:rPr>
          <w:spacing w:val="-2"/>
          <w:w w:val="105"/>
          <w:sz w:val="24"/>
        </w:rPr>
        <w:t>a</w:t>
      </w:r>
      <w:r>
        <w:rPr>
          <w:spacing w:val="-9"/>
          <w:w w:val="105"/>
          <w:sz w:val="24"/>
        </w:rPr>
        <w:t> </w:t>
      </w:r>
      <w:r>
        <w:rPr>
          <w:spacing w:val="-2"/>
          <w:w w:val="105"/>
          <w:sz w:val="24"/>
        </w:rPr>
        <w:t>zákonom </w:t>
      </w:r>
      <w:r>
        <w:rPr>
          <w:w w:val="105"/>
          <w:sz w:val="24"/>
        </w:rPr>
        <w:t>č. 391/2015 Z. z. o alternatívnom riešení spotrebiteľských sporov.</w:t>
      </w:r>
    </w:p>
    <w:p>
      <w:pPr>
        <w:pStyle w:val="ListParagraph"/>
        <w:numPr>
          <w:ilvl w:val="1"/>
          <w:numId w:val="1"/>
        </w:numPr>
        <w:tabs>
          <w:tab w:pos="740" w:val="left" w:leader="none"/>
        </w:tabs>
        <w:spacing w:line="252" w:lineRule="auto" w:before="196" w:after="0"/>
        <w:ind w:left="740" w:right="140" w:hanging="302"/>
        <w:jc w:val="both"/>
        <w:rPr>
          <w:sz w:val="24"/>
        </w:rPr>
      </w:pPr>
      <w:r>
        <w:rPr>
          <w:w w:val="105"/>
          <w:sz w:val="24"/>
        </w:rPr>
        <w:t>Prevádzkovateľom</w:t>
      </w:r>
      <w:r>
        <w:rPr>
          <w:w w:val="105"/>
          <w:sz w:val="24"/>
        </w:rPr>
        <w:t> Portálu</w:t>
      </w:r>
      <w:r>
        <w:rPr>
          <w:w w:val="105"/>
          <w:sz w:val="24"/>
        </w:rPr>
        <w:t> je</w:t>
      </w:r>
      <w:r>
        <w:rPr>
          <w:w w:val="105"/>
          <w:sz w:val="24"/>
        </w:rPr>
        <w:t> spoločnosť</w:t>
      </w:r>
      <w:r>
        <w:rPr>
          <w:w w:val="105"/>
          <w:sz w:val="24"/>
        </w:rPr>
        <w:t> AutoCasa</w:t>
      </w:r>
      <w:r>
        <w:rPr>
          <w:w w:val="105"/>
          <w:sz w:val="24"/>
        </w:rPr>
        <w:t> s.r.o.,</w:t>
      </w:r>
      <w:r>
        <w:rPr>
          <w:w w:val="105"/>
          <w:sz w:val="24"/>
        </w:rPr>
        <w:t> so</w:t>
      </w:r>
      <w:r>
        <w:rPr>
          <w:w w:val="105"/>
          <w:sz w:val="24"/>
        </w:rPr>
        <w:t> sídlom</w:t>
      </w:r>
      <w:r>
        <w:rPr>
          <w:w w:val="105"/>
          <w:sz w:val="24"/>
        </w:rPr>
        <w:t> Hlavná</w:t>
      </w:r>
      <w:r>
        <w:rPr>
          <w:w w:val="105"/>
          <w:sz w:val="24"/>
        </w:rPr>
        <w:t> 123, 821</w:t>
      </w:r>
      <w:r>
        <w:rPr>
          <w:w w:val="105"/>
          <w:sz w:val="24"/>
        </w:rPr>
        <w:t> 01</w:t>
      </w:r>
      <w:r>
        <w:rPr>
          <w:w w:val="105"/>
          <w:sz w:val="24"/>
        </w:rPr>
        <w:t> Bratislava,</w:t>
      </w:r>
      <w:r>
        <w:rPr>
          <w:w w:val="105"/>
          <w:sz w:val="24"/>
        </w:rPr>
        <w:t> Slovenská</w:t>
      </w:r>
      <w:r>
        <w:rPr>
          <w:w w:val="105"/>
          <w:sz w:val="24"/>
        </w:rPr>
        <w:t> republika,</w:t>
      </w:r>
      <w:r>
        <w:rPr>
          <w:w w:val="105"/>
          <w:sz w:val="24"/>
        </w:rPr>
        <w:t> IČO:</w:t>
      </w:r>
      <w:r>
        <w:rPr>
          <w:w w:val="105"/>
          <w:sz w:val="24"/>
        </w:rPr>
        <w:t> 12345678,</w:t>
      </w:r>
      <w:r>
        <w:rPr>
          <w:w w:val="105"/>
          <w:sz w:val="24"/>
        </w:rPr>
        <w:t> zapísaná</w:t>
      </w:r>
      <w:r>
        <w:rPr>
          <w:w w:val="105"/>
          <w:sz w:val="24"/>
        </w:rPr>
        <w:t> v</w:t>
      </w:r>
      <w:r>
        <w:rPr>
          <w:w w:val="105"/>
          <w:sz w:val="24"/>
        </w:rPr>
        <w:t> Obchodnom registri</w:t>
      </w:r>
      <w:r>
        <w:rPr>
          <w:spacing w:val="27"/>
          <w:w w:val="105"/>
          <w:sz w:val="24"/>
        </w:rPr>
        <w:t> </w:t>
      </w:r>
      <w:r>
        <w:rPr>
          <w:w w:val="105"/>
          <w:sz w:val="24"/>
        </w:rPr>
        <w:t>Okresného</w:t>
      </w:r>
      <w:r>
        <w:rPr>
          <w:spacing w:val="27"/>
          <w:w w:val="105"/>
          <w:sz w:val="24"/>
        </w:rPr>
        <w:t> </w:t>
      </w:r>
      <w:r>
        <w:rPr>
          <w:w w:val="105"/>
          <w:sz w:val="24"/>
        </w:rPr>
        <w:t>súdu</w:t>
      </w:r>
      <w:r>
        <w:rPr>
          <w:spacing w:val="27"/>
          <w:w w:val="105"/>
          <w:sz w:val="24"/>
        </w:rPr>
        <w:t> </w:t>
      </w:r>
      <w:r>
        <w:rPr>
          <w:w w:val="105"/>
          <w:sz w:val="24"/>
        </w:rPr>
        <w:t>Bratislava</w:t>
      </w:r>
      <w:r>
        <w:rPr>
          <w:spacing w:val="27"/>
          <w:w w:val="105"/>
          <w:sz w:val="24"/>
        </w:rPr>
        <w:t> </w:t>
      </w:r>
      <w:r>
        <w:rPr>
          <w:w w:val="105"/>
          <w:sz w:val="24"/>
        </w:rPr>
        <w:t>I,</w:t>
      </w:r>
      <w:r>
        <w:rPr>
          <w:spacing w:val="27"/>
          <w:w w:val="105"/>
          <w:sz w:val="24"/>
        </w:rPr>
        <w:t> </w:t>
      </w:r>
      <w:r>
        <w:rPr>
          <w:w w:val="105"/>
          <w:sz w:val="24"/>
        </w:rPr>
        <w:t>oddiel:</w:t>
      </w:r>
      <w:r>
        <w:rPr>
          <w:spacing w:val="27"/>
          <w:w w:val="105"/>
          <w:sz w:val="24"/>
        </w:rPr>
        <w:t> </w:t>
      </w:r>
      <w:r>
        <w:rPr>
          <w:w w:val="105"/>
          <w:sz w:val="24"/>
        </w:rPr>
        <w:t>Sro,</w:t>
      </w:r>
      <w:r>
        <w:rPr>
          <w:spacing w:val="27"/>
          <w:w w:val="105"/>
          <w:sz w:val="24"/>
        </w:rPr>
        <w:t> </w:t>
      </w:r>
      <w:r>
        <w:rPr>
          <w:w w:val="105"/>
          <w:sz w:val="24"/>
        </w:rPr>
        <w:t>vložka</w:t>
      </w:r>
      <w:r>
        <w:rPr>
          <w:spacing w:val="27"/>
          <w:w w:val="105"/>
          <w:sz w:val="24"/>
        </w:rPr>
        <w:t> </w:t>
      </w:r>
      <w:r>
        <w:rPr>
          <w:w w:val="105"/>
          <w:sz w:val="24"/>
        </w:rPr>
        <w:t>č.:</w:t>
      </w:r>
      <w:r>
        <w:rPr>
          <w:spacing w:val="27"/>
          <w:w w:val="105"/>
          <w:sz w:val="24"/>
        </w:rPr>
        <w:t> </w:t>
      </w:r>
      <w:r>
        <w:rPr>
          <w:w w:val="105"/>
          <w:sz w:val="24"/>
        </w:rPr>
        <w:t>98765/BA</w:t>
      </w:r>
      <w:r>
        <w:rPr>
          <w:spacing w:val="27"/>
          <w:w w:val="105"/>
          <w:sz w:val="24"/>
        </w:rPr>
        <w:t> </w:t>
      </w:r>
      <w:r>
        <w:rPr>
          <w:w w:val="105"/>
          <w:sz w:val="24"/>
        </w:rPr>
        <w:t>(ďalej</w:t>
      </w:r>
      <w:r>
        <w:rPr>
          <w:spacing w:val="27"/>
          <w:w w:val="105"/>
          <w:sz w:val="24"/>
        </w:rPr>
        <w:t> </w:t>
      </w:r>
      <w:r>
        <w:rPr>
          <w:w w:val="105"/>
          <w:sz w:val="24"/>
        </w:rPr>
        <w:t>len</w:t>
      </w:r>
    </w:p>
    <w:p>
      <w:pPr>
        <w:pStyle w:val="BodyText"/>
        <w:spacing w:line="252" w:lineRule="auto"/>
        <w:ind w:right="140" w:firstLine="0"/>
        <w:jc w:val="both"/>
      </w:pPr>
      <w:r>
        <w:rPr/>
        <w:t>„Prevádzkovateľ“).</w:t>
      </w:r>
      <w:r>
        <w:rPr>
          <w:spacing w:val="40"/>
        </w:rPr>
        <w:t> </w:t>
      </w:r>
      <w:r>
        <w:rPr/>
        <w:t>Kontaktné</w:t>
      </w:r>
      <w:r>
        <w:rPr>
          <w:spacing w:val="40"/>
        </w:rPr>
        <w:t> </w:t>
      </w:r>
      <w:r>
        <w:rPr/>
        <w:t>údaje:</w:t>
      </w:r>
      <w:r>
        <w:rPr>
          <w:spacing w:val="40"/>
        </w:rPr>
        <w:t> </w:t>
      </w:r>
      <w:r>
        <w:rPr/>
        <w:t>e-mail:</w:t>
      </w:r>
      <w:r>
        <w:rPr>
          <w:spacing w:val="40"/>
        </w:rPr>
        <w:t> </w:t>
      </w:r>
      <w:hyperlink r:id="rId7">
        <w:r>
          <w:rPr/>
          <w:t>info@autocasa.sk</w:t>
        </w:r>
      </w:hyperlink>
      <w:r>
        <w:rPr/>
        <w:t>,</w:t>
      </w:r>
      <w:r>
        <w:rPr>
          <w:spacing w:val="40"/>
        </w:rPr>
        <w:t> </w:t>
      </w:r>
      <w:r>
        <w:rPr/>
        <w:t>telefón:</w:t>
      </w:r>
      <w:r>
        <w:rPr>
          <w:spacing w:val="40"/>
        </w:rPr>
        <w:t> </w:t>
      </w:r>
      <w:r>
        <w:rPr/>
        <w:t>+421</w:t>
      </w:r>
      <w:r>
        <w:rPr>
          <w:spacing w:val="40"/>
        </w:rPr>
        <w:t> </w:t>
      </w:r>
      <w:r>
        <w:rPr/>
        <w:t>911 806 623.</w:t>
      </w:r>
    </w:p>
    <w:p>
      <w:pPr>
        <w:pStyle w:val="BodyText"/>
        <w:spacing w:before="112"/>
        <w:ind w:left="0" w:firstLine="0"/>
      </w:pPr>
    </w:p>
    <w:p>
      <w:pPr>
        <w:pStyle w:val="Heading1"/>
        <w:numPr>
          <w:ilvl w:val="0"/>
          <w:numId w:val="1"/>
        </w:numPr>
        <w:tabs>
          <w:tab w:pos="590" w:val="left" w:leader="none"/>
        </w:tabs>
        <w:spacing w:line="240" w:lineRule="auto" w:before="1" w:after="0"/>
        <w:ind w:left="590" w:right="0" w:hanging="448"/>
        <w:jc w:val="left"/>
      </w:pPr>
      <w:bookmarkStart w:name="Podávanie reklamácií" w:id="3"/>
      <w:bookmarkEnd w:id="3"/>
      <w:r>
        <w:rPr>
          <w:b w:val="0"/>
        </w:rPr>
      </w:r>
      <w:r>
        <w:rPr>
          <w:w w:val="115"/>
        </w:rPr>
        <w:t>Podávanie</w:t>
      </w:r>
      <w:r>
        <w:rPr>
          <w:spacing w:val="23"/>
          <w:w w:val="115"/>
        </w:rPr>
        <w:t> </w:t>
      </w:r>
      <w:r>
        <w:rPr>
          <w:spacing w:val="-2"/>
          <w:w w:val="115"/>
        </w:rPr>
        <w:t>reklamácií</w:t>
      </w:r>
    </w:p>
    <w:p>
      <w:pPr>
        <w:pStyle w:val="ListParagraph"/>
        <w:numPr>
          <w:ilvl w:val="1"/>
          <w:numId w:val="1"/>
        </w:numPr>
        <w:tabs>
          <w:tab w:pos="740" w:val="left" w:leader="none"/>
        </w:tabs>
        <w:spacing w:line="252" w:lineRule="auto" w:before="241" w:after="0"/>
        <w:ind w:left="740" w:right="140" w:hanging="302"/>
        <w:jc w:val="both"/>
        <w:rPr>
          <w:sz w:val="24"/>
        </w:rPr>
      </w:pPr>
      <w:r>
        <w:rPr>
          <w:w w:val="105"/>
          <w:sz w:val="24"/>
        </w:rPr>
        <w:t>Reklamáciu je možné podať do 30 dní od zistenia vady služby (napr. neschválenie inzerátu, technická chyba pri platbe) e-mailom na </w:t>
      </w:r>
      <w:hyperlink r:id="rId7">
        <w:r>
          <w:rPr>
            <w:w w:val="105"/>
            <w:sz w:val="24"/>
          </w:rPr>
          <w:t>info@autocasa.sk</w:t>
        </w:r>
      </w:hyperlink>
      <w:r>
        <w:rPr>
          <w:w w:val="105"/>
          <w:sz w:val="24"/>
        </w:rPr>
        <w:t> alebo písomne na adresu Prevádzkovateľa s označením „Reklamácia“.</w:t>
      </w:r>
    </w:p>
    <w:p>
      <w:pPr>
        <w:pStyle w:val="ListParagraph"/>
        <w:numPr>
          <w:ilvl w:val="1"/>
          <w:numId w:val="1"/>
        </w:numPr>
        <w:tabs>
          <w:tab w:pos="739" w:val="left" w:leader="none"/>
        </w:tabs>
        <w:spacing w:line="240" w:lineRule="auto" w:before="197" w:after="0"/>
        <w:ind w:left="739" w:right="0" w:hanging="301"/>
        <w:jc w:val="left"/>
        <w:rPr>
          <w:sz w:val="24"/>
        </w:rPr>
      </w:pPr>
      <w:r>
        <w:rPr>
          <w:w w:val="105"/>
          <w:sz w:val="24"/>
        </w:rPr>
        <w:t>Reklamácia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musí </w:t>
      </w:r>
      <w:r>
        <w:rPr>
          <w:spacing w:val="-2"/>
          <w:w w:val="105"/>
          <w:sz w:val="24"/>
        </w:rPr>
        <w:t>obsahovať:</w:t>
      </w:r>
    </w:p>
    <w:p>
      <w:pPr>
        <w:pStyle w:val="ListParagraph"/>
        <w:numPr>
          <w:ilvl w:val="2"/>
          <w:numId w:val="1"/>
        </w:numPr>
        <w:tabs>
          <w:tab w:pos="1265" w:val="left" w:leader="none"/>
        </w:tabs>
        <w:spacing w:line="240" w:lineRule="auto" w:before="212" w:after="0"/>
        <w:ind w:left="1265" w:right="0" w:hanging="301"/>
        <w:jc w:val="left"/>
        <w:rPr>
          <w:sz w:val="24"/>
        </w:rPr>
      </w:pPr>
      <w:r>
        <w:rPr>
          <w:w w:val="105"/>
          <w:sz w:val="24"/>
        </w:rPr>
        <w:t>Identifikáciu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Používateľa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(meno,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priezvisko,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e-mail,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ID</w:t>
      </w:r>
      <w:r>
        <w:rPr>
          <w:spacing w:val="-8"/>
          <w:w w:val="105"/>
          <w:sz w:val="24"/>
        </w:rPr>
        <w:t> </w:t>
      </w:r>
      <w:r>
        <w:rPr>
          <w:spacing w:val="-2"/>
          <w:w w:val="105"/>
          <w:sz w:val="24"/>
        </w:rPr>
        <w:t>konta).</w:t>
      </w:r>
    </w:p>
    <w:p>
      <w:pPr>
        <w:pStyle w:val="ListParagraph"/>
        <w:numPr>
          <w:ilvl w:val="2"/>
          <w:numId w:val="1"/>
        </w:numPr>
        <w:tabs>
          <w:tab w:pos="1265" w:val="left" w:leader="none"/>
        </w:tabs>
        <w:spacing w:line="240" w:lineRule="auto" w:before="112" w:after="0"/>
        <w:ind w:left="1265" w:right="0" w:hanging="301"/>
        <w:jc w:val="left"/>
        <w:rPr>
          <w:sz w:val="24"/>
        </w:rPr>
      </w:pPr>
      <w:r>
        <w:rPr>
          <w:w w:val="105"/>
          <w:sz w:val="24"/>
        </w:rPr>
        <w:t>Popis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vady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okolnosti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jej</w:t>
      </w:r>
      <w:r>
        <w:rPr>
          <w:spacing w:val="5"/>
          <w:w w:val="105"/>
          <w:sz w:val="24"/>
        </w:rPr>
        <w:t> </w:t>
      </w:r>
      <w:r>
        <w:rPr>
          <w:spacing w:val="-2"/>
          <w:w w:val="105"/>
          <w:sz w:val="24"/>
        </w:rPr>
        <w:t>vzniku.</w:t>
      </w:r>
    </w:p>
    <w:p>
      <w:pPr>
        <w:pStyle w:val="ListParagraph"/>
        <w:numPr>
          <w:ilvl w:val="2"/>
          <w:numId w:val="1"/>
        </w:numPr>
        <w:tabs>
          <w:tab w:pos="1265" w:val="left" w:leader="none"/>
        </w:tabs>
        <w:spacing w:line="240" w:lineRule="auto" w:before="113" w:after="0"/>
        <w:ind w:left="1265" w:right="0" w:hanging="301"/>
        <w:jc w:val="left"/>
        <w:rPr>
          <w:sz w:val="24"/>
        </w:rPr>
      </w:pPr>
      <w:r>
        <w:rPr>
          <w:w w:val="105"/>
          <w:sz w:val="24"/>
        </w:rPr>
        <w:t>Dôkazy</w:t>
      </w:r>
      <w:r>
        <w:rPr>
          <w:spacing w:val="12"/>
          <w:w w:val="105"/>
          <w:sz w:val="24"/>
        </w:rPr>
        <w:t> </w:t>
      </w:r>
      <w:r>
        <w:rPr>
          <w:w w:val="105"/>
          <w:sz w:val="24"/>
        </w:rPr>
        <w:t>(napr.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screenshot,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potvrdenie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o</w:t>
      </w:r>
      <w:r>
        <w:rPr>
          <w:spacing w:val="12"/>
          <w:w w:val="105"/>
          <w:sz w:val="24"/>
        </w:rPr>
        <w:t> </w:t>
      </w:r>
      <w:r>
        <w:rPr>
          <w:spacing w:val="-2"/>
          <w:w w:val="105"/>
          <w:sz w:val="24"/>
        </w:rPr>
        <w:t>platbe).</w:t>
      </w:r>
    </w:p>
    <w:p>
      <w:pPr>
        <w:pStyle w:val="ListParagraph"/>
        <w:numPr>
          <w:ilvl w:val="2"/>
          <w:numId w:val="1"/>
        </w:numPr>
        <w:tabs>
          <w:tab w:pos="1265" w:val="left" w:leader="none"/>
        </w:tabs>
        <w:spacing w:line="240" w:lineRule="auto" w:before="112" w:after="0"/>
        <w:ind w:left="1265" w:right="0" w:hanging="301"/>
        <w:jc w:val="left"/>
        <w:rPr>
          <w:sz w:val="24"/>
        </w:rPr>
      </w:pPr>
      <w:r>
        <w:rPr>
          <w:w w:val="105"/>
          <w:sz w:val="24"/>
        </w:rPr>
        <w:t>Návrh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na</w:t>
      </w:r>
      <w:r>
        <w:rPr>
          <w:spacing w:val="12"/>
          <w:w w:val="105"/>
          <w:sz w:val="24"/>
        </w:rPr>
        <w:t> </w:t>
      </w:r>
      <w:r>
        <w:rPr>
          <w:w w:val="105"/>
          <w:sz w:val="24"/>
        </w:rPr>
        <w:t>riešenie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(napr.</w:t>
      </w:r>
      <w:r>
        <w:rPr>
          <w:spacing w:val="12"/>
          <w:w w:val="105"/>
          <w:sz w:val="24"/>
        </w:rPr>
        <w:t> </w:t>
      </w:r>
      <w:r>
        <w:rPr>
          <w:w w:val="105"/>
          <w:sz w:val="24"/>
        </w:rPr>
        <w:t>opätovné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poskytnutie</w:t>
      </w:r>
      <w:r>
        <w:rPr>
          <w:spacing w:val="12"/>
          <w:w w:val="105"/>
          <w:sz w:val="24"/>
        </w:rPr>
        <w:t> </w:t>
      </w:r>
      <w:r>
        <w:rPr>
          <w:w w:val="105"/>
          <w:sz w:val="24"/>
        </w:rPr>
        <w:t>služby,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vrátenie</w:t>
      </w:r>
      <w:r>
        <w:rPr>
          <w:spacing w:val="12"/>
          <w:w w:val="105"/>
          <w:sz w:val="24"/>
        </w:rPr>
        <w:t> </w:t>
      </w:r>
      <w:r>
        <w:rPr>
          <w:spacing w:val="-2"/>
          <w:w w:val="105"/>
          <w:sz w:val="24"/>
        </w:rPr>
        <w:t>peňazí).</w:t>
      </w:r>
    </w:p>
    <w:p>
      <w:pPr>
        <w:pStyle w:val="BodyText"/>
        <w:spacing w:before="130"/>
        <w:ind w:left="0" w:firstLine="0"/>
      </w:pPr>
    </w:p>
    <w:p>
      <w:pPr>
        <w:pStyle w:val="Heading1"/>
        <w:numPr>
          <w:ilvl w:val="0"/>
          <w:numId w:val="1"/>
        </w:numPr>
        <w:tabs>
          <w:tab w:pos="590" w:val="left" w:leader="none"/>
        </w:tabs>
        <w:spacing w:line="240" w:lineRule="auto" w:before="0" w:after="0"/>
        <w:ind w:left="590" w:right="0" w:hanging="448"/>
        <w:jc w:val="left"/>
      </w:pPr>
      <w:bookmarkStart w:name="Vybavovanie reklamácií" w:id="4"/>
      <w:bookmarkEnd w:id="4"/>
      <w:r>
        <w:rPr>
          <w:b w:val="0"/>
        </w:rPr>
      </w:r>
      <w:r>
        <w:rPr>
          <w:spacing w:val="-2"/>
          <w:w w:val="115"/>
        </w:rPr>
        <w:t>Vybavovanie</w:t>
      </w:r>
      <w:r>
        <w:rPr>
          <w:spacing w:val="4"/>
          <w:w w:val="115"/>
        </w:rPr>
        <w:t> </w:t>
      </w:r>
      <w:r>
        <w:rPr>
          <w:spacing w:val="-2"/>
          <w:w w:val="115"/>
        </w:rPr>
        <w:t>reklamácií</w:t>
      </w:r>
    </w:p>
    <w:p>
      <w:pPr>
        <w:pStyle w:val="ListParagraph"/>
        <w:numPr>
          <w:ilvl w:val="1"/>
          <w:numId w:val="1"/>
        </w:numPr>
        <w:tabs>
          <w:tab w:pos="740" w:val="left" w:leader="none"/>
        </w:tabs>
        <w:spacing w:line="252" w:lineRule="auto" w:before="242" w:after="0"/>
        <w:ind w:left="740" w:right="140" w:hanging="302"/>
        <w:jc w:val="both"/>
        <w:rPr>
          <w:sz w:val="24"/>
        </w:rPr>
      </w:pPr>
      <w:r>
        <w:rPr>
          <w:w w:val="105"/>
          <w:sz w:val="24"/>
        </w:rPr>
        <w:t>Prevádzkovateľ vybaví reklamáciu do 30 dní od jej doručenia a poskytne nápravu, ak je reklamácia opodstatnená:</w:t>
      </w:r>
    </w:p>
    <w:p>
      <w:pPr>
        <w:pStyle w:val="ListParagraph"/>
        <w:numPr>
          <w:ilvl w:val="2"/>
          <w:numId w:val="1"/>
        </w:numPr>
        <w:tabs>
          <w:tab w:pos="1265" w:val="left" w:leader="none"/>
        </w:tabs>
        <w:spacing w:line="240" w:lineRule="auto" w:before="197" w:after="0"/>
        <w:ind w:left="1265" w:right="0" w:hanging="301"/>
        <w:jc w:val="left"/>
        <w:rPr>
          <w:sz w:val="24"/>
        </w:rPr>
      </w:pPr>
      <w:r>
        <w:rPr>
          <w:w w:val="105"/>
          <w:sz w:val="24"/>
        </w:rPr>
        <w:t>Opätovné</w:t>
      </w:r>
      <w:r>
        <w:rPr>
          <w:spacing w:val="23"/>
          <w:w w:val="105"/>
          <w:sz w:val="24"/>
        </w:rPr>
        <w:t> </w:t>
      </w:r>
      <w:r>
        <w:rPr>
          <w:w w:val="105"/>
          <w:sz w:val="24"/>
        </w:rPr>
        <w:t>poskytnutie</w:t>
      </w:r>
      <w:r>
        <w:rPr>
          <w:spacing w:val="23"/>
          <w:w w:val="105"/>
          <w:sz w:val="24"/>
        </w:rPr>
        <w:t> </w:t>
      </w:r>
      <w:r>
        <w:rPr>
          <w:spacing w:val="-2"/>
          <w:w w:val="105"/>
          <w:sz w:val="24"/>
        </w:rPr>
        <w:t>služby.</w:t>
      </w:r>
    </w:p>
    <w:p>
      <w:pPr>
        <w:pStyle w:val="ListParagraph"/>
        <w:numPr>
          <w:ilvl w:val="2"/>
          <w:numId w:val="1"/>
        </w:numPr>
        <w:tabs>
          <w:tab w:pos="1265" w:val="left" w:leader="none"/>
        </w:tabs>
        <w:spacing w:line="240" w:lineRule="auto" w:before="113" w:after="0"/>
        <w:ind w:left="1265" w:right="0" w:hanging="301"/>
        <w:jc w:val="left"/>
        <w:rPr>
          <w:sz w:val="24"/>
        </w:rPr>
      </w:pPr>
      <w:r>
        <w:rPr>
          <w:w w:val="105"/>
          <w:sz w:val="24"/>
        </w:rPr>
        <w:t>Zľava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na</w:t>
      </w:r>
      <w:r>
        <w:rPr>
          <w:spacing w:val="-13"/>
          <w:w w:val="105"/>
          <w:sz w:val="24"/>
        </w:rPr>
        <w:t> </w:t>
      </w:r>
      <w:r>
        <w:rPr>
          <w:spacing w:val="-2"/>
          <w:w w:val="105"/>
          <w:sz w:val="24"/>
        </w:rPr>
        <w:t>službu.</w:t>
      </w:r>
    </w:p>
    <w:p>
      <w:pPr>
        <w:pStyle w:val="ListParagraph"/>
        <w:numPr>
          <w:ilvl w:val="2"/>
          <w:numId w:val="1"/>
        </w:numPr>
        <w:tabs>
          <w:tab w:pos="1265" w:val="left" w:leader="none"/>
        </w:tabs>
        <w:spacing w:line="240" w:lineRule="auto" w:before="112" w:after="0"/>
        <w:ind w:left="1265" w:right="0" w:hanging="301"/>
        <w:jc w:val="left"/>
        <w:rPr>
          <w:sz w:val="24"/>
        </w:rPr>
      </w:pPr>
      <w:r>
        <w:rPr>
          <w:w w:val="105"/>
          <w:sz w:val="24"/>
        </w:rPr>
        <w:t>Vrátenie </w:t>
      </w:r>
      <w:r>
        <w:rPr>
          <w:spacing w:val="-2"/>
          <w:w w:val="105"/>
          <w:sz w:val="24"/>
        </w:rPr>
        <w:t>peňazí.</w:t>
      </w:r>
    </w:p>
    <w:p>
      <w:pPr>
        <w:pStyle w:val="ListParagraph"/>
        <w:numPr>
          <w:ilvl w:val="1"/>
          <w:numId w:val="1"/>
        </w:numPr>
        <w:tabs>
          <w:tab w:pos="739" w:val="left" w:leader="none"/>
        </w:tabs>
        <w:spacing w:line="240" w:lineRule="auto" w:before="213" w:after="0"/>
        <w:ind w:left="739" w:right="0" w:hanging="301"/>
        <w:jc w:val="left"/>
        <w:rPr>
          <w:sz w:val="24"/>
        </w:rPr>
      </w:pPr>
      <w:r>
        <w:rPr>
          <w:w w:val="105"/>
          <w:sz w:val="24"/>
        </w:rPr>
        <w:t>Neopodstatnené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reklamácie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budú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zamietnuté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s</w:t>
      </w:r>
      <w:r>
        <w:rPr>
          <w:spacing w:val="18"/>
          <w:w w:val="105"/>
          <w:sz w:val="24"/>
        </w:rPr>
        <w:t> </w:t>
      </w:r>
      <w:r>
        <w:rPr>
          <w:spacing w:val="-2"/>
          <w:w w:val="105"/>
          <w:sz w:val="24"/>
        </w:rPr>
        <w:t>odôvodnením.</w:t>
      </w:r>
    </w:p>
    <w:p>
      <w:pPr>
        <w:pStyle w:val="ListParagraph"/>
        <w:numPr>
          <w:ilvl w:val="1"/>
          <w:numId w:val="1"/>
        </w:numPr>
        <w:tabs>
          <w:tab w:pos="740" w:val="left" w:leader="none"/>
        </w:tabs>
        <w:spacing w:line="252" w:lineRule="auto" w:before="212" w:after="0"/>
        <w:ind w:left="740" w:right="140" w:hanging="302"/>
        <w:jc w:val="both"/>
        <w:rPr>
          <w:sz w:val="24"/>
        </w:rPr>
      </w:pPr>
      <w:r>
        <w:rPr>
          <w:sz w:val="24"/>
        </w:rPr>
        <w:t>Prevádzkovateľ informuje Používateľa o výsledku reklamácie e-mailom alebo </w:t>
      </w:r>
      <w:r>
        <w:rPr>
          <w:sz w:val="24"/>
        </w:rPr>
        <w:t>pí- </w:t>
      </w:r>
      <w:r>
        <w:rPr>
          <w:spacing w:val="-2"/>
          <w:sz w:val="24"/>
        </w:rPr>
        <w:t>somne.</w:t>
      </w:r>
    </w:p>
    <w:p>
      <w:pPr>
        <w:pStyle w:val="ListParagraph"/>
        <w:spacing w:after="0" w:line="252" w:lineRule="auto"/>
        <w:jc w:val="both"/>
        <w:rPr>
          <w:sz w:val="24"/>
        </w:rPr>
        <w:sectPr>
          <w:headerReference w:type="default" r:id="rId5"/>
          <w:type w:val="continuous"/>
          <w:pgSz w:w="11910" w:h="16840"/>
          <w:pgMar w:header="613" w:footer="0" w:top="1180" w:bottom="280" w:left="1275" w:right="1275"/>
          <w:pgNumType w:start="1"/>
        </w:sectPr>
      </w:pPr>
    </w:p>
    <w:p>
      <w:pPr>
        <w:pStyle w:val="Heading1"/>
        <w:numPr>
          <w:ilvl w:val="0"/>
          <w:numId w:val="1"/>
        </w:numPr>
        <w:tabs>
          <w:tab w:pos="590" w:val="left" w:leader="none"/>
        </w:tabs>
        <w:spacing w:line="240" w:lineRule="auto" w:before="226" w:after="0"/>
        <w:ind w:left="590" w:right="0" w:hanging="448"/>
        <w:jc w:val="left"/>
      </w:pPr>
      <w:bookmarkStart w:name="_bookmark0" w:id="5"/>
      <w:bookmarkEnd w:id="5"/>
      <w:r>
        <w:rPr>
          <w:b w:val="0"/>
        </w:rPr>
      </w:r>
      <w:r>
        <w:rPr>
          <w:w w:val="115"/>
        </w:rPr>
        <w:t>Alternatívne</w:t>
      </w:r>
      <w:r>
        <w:rPr>
          <w:spacing w:val="49"/>
          <w:w w:val="115"/>
        </w:rPr>
        <w:t> </w:t>
      </w:r>
      <w:r>
        <w:rPr>
          <w:w w:val="115"/>
        </w:rPr>
        <w:t>riešenie</w:t>
      </w:r>
      <w:r>
        <w:rPr>
          <w:spacing w:val="49"/>
          <w:w w:val="115"/>
        </w:rPr>
        <w:t> </w:t>
      </w:r>
      <w:r>
        <w:rPr>
          <w:spacing w:val="-2"/>
          <w:w w:val="115"/>
        </w:rPr>
        <w:t>sporov</w:t>
      </w:r>
    </w:p>
    <w:p>
      <w:pPr>
        <w:pStyle w:val="ListParagraph"/>
        <w:numPr>
          <w:ilvl w:val="1"/>
          <w:numId w:val="1"/>
        </w:numPr>
        <w:tabs>
          <w:tab w:pos="740" w:val="left" w:leader="none"/>
        </w:tabs>
        <w:spacing w:line="252" w:lineRule="auto" w:before="241" w:after="0"/>
        <w:ind w:left="740" w:right="140" w:hanging="302"/>
        <w:jc w:val="both"/>
        <w:rPr>
          <w:sz w:val="24"/>
        </w:rPr>
      </w:pPr>
      <w:r>
        <w:rPr>
          <w:w w:val="105"/>
          <w:sz w:val="24"/>
        </w:rPr>
        <w:t>Ak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Používateľ,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ktorý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je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spotrebiteľ,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nie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je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spokojný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s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vybavením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reklamácie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alebo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sa domnieva, že Prevádzkovateľ porušil jeho práva, môže podať návrh na </w:t>
      </w:r>
      <w:r>
        <w:rPr>
          <w:w w:val="105"/>
          <w:sz w:val="24"/>
        </w:rPr>
        <w:t>alternatívne riešenie sporu subjektu Slovenská obchodná inšpekcia, Prievozská 32, P.O. Box 5, 820</w:t>
      </w:r>
      <w:r>
        <w:rPr>
          <w:w w:val="105"/>
          <w:sz w:val="24"/>
        </w:rPr>
        <w:t> 07</w:t>
      </w:r>
      <w:r>
        <w:rPr>
          <w:w w:val="105"/>
          <w:sz w:val="24"/>
        </w:rPr>
        <w:t> Bratislava</w:t>
      </w:r>
      <w:r>
        <w:rPr>
          <w:w w:val="105"/>
          <w:sz w:val="24"/>
        </w:rPr>
        <w:t> 27,</w:t>
      </w:r>
      <w:r>
        <w:rPr>
          <w:w w:val="105"/>
          <w:sz w:val="24"/>
        </w:rPr>
        <w:t> alebo</w:t>
      </w:r>
      <w:r>
        <w:rPr>
          <w:w w:val="105"/>
          <w:sz w:val="24"/>
        </w:rPr>
        <w:t> inému</w:t>
      </w:r>
      <w:r>
        <w:rPr>
          <w:w w:val="105"/>
          <w:sz w:val="24"/>
        </w:rPr>
        <w:t> oprávnenému</w:t>
      </w:r>
      <w:r>
        <w:rPr>
          <w:w w:val="105"/>
          <w:sz w:val="24"/>
        </w:rPr>
        <w:t> subjektu</w:t>
      </w:r>
      <w:r>
        <w:rPr>
          <w:w w:val="105"/>
          <w:sz w:val="24"/>
        </w:rPr>
        <w:t> zapísanému</w:t>
      </w:r>
      <w:r>
        <w:rPr>
          <w:w w:val="105"/>
          <w:sz w:val="24"/>
        </w:rPr>
        <w:t> v</w:t>
      </w:r>
      <w:r>
        <w:rPr>
          <w:w w:val="105"/>
          <w:sz w:val="24"/>
        </w:rPr>
        <w:t> zozname Ministerstva hospodárstva SR (</w:t>
      </w:r>
      <w:hyperlink r:id="rId8">
        <w:r>
          <w:rPr>
            <w:w w:val="105"/>
            <w:sz w:val="24"/>
          </w:rPr>
          <w:t>www.mhsr.sk</w:t>
        </w:r>
      </w:hyperlink>
      <w:r>
        <w:rPr>
          <w:w w:val="105"/>
          <w:sz w:val="24"/>
        </w:rPr>
        <w:t>).</w:t>
      </w:r>
    </w:p>
    <w:p>
      <w:pPr>
        <w:pStyle w:val="ListParagraph"/>
        <w:numPr>
          <w:ilvl w:val="1"/>
          <w:numId w:val="1"/>
        </w:numPr>
        <w:tabs>
          <w:tab w:pos="740" w:val="left" w:leader="none"/>
        </w:tabs>
        <w:spacing w:line="252" w:lineRule="auto" w:before="195" w:after="0"/>
        <w:ind w:left="740" w:right="140" w:hanging="302"/>
        <w:jc w:val="both"/>
        <w:rPr>
          <w:sz w:val="24"/>
        </w:rPr>
      </w:pPr>
      <w:r>
        <w:rPr>
          <w:w w:val="105"/>
          <w:sz w:val="24"/>
        </w:rPr>
        <w:t>Používateľ môže využiť platformu RSO na </w:t>
      </w:r>
      <w:hyperlink r:id="rId9">
        <w:r>
          <w:rPr>
            <w:w w:val="105"/>
            <w:sz w:val="24"/>
          </w:rPr>
          <w:t>ec.europa.eu/consumers/odr</w:t>
        </w:r>
      </w:hyperlink>
      <w:r>
        <w:rPr>
          <w:w w:val="105"/>
          <w:sz w:val="24"/>
        </w:rPr>
        <w:t>, v súlade s nariadením EÚ č. 524/2013.</w:t>
      </w:r>
    </w:p>
    <w:p>
      <w:pPr>
        <w:pStyle w:val="BodyText"/>
        <w:spacing w:before="116"/>
        <w:ind w:left="0" w:firstLine="0"/>
      </w:pPr>
    </w:p>
    <w:p>
      <w:pPr>
        <w:pStyle w:val="Heading1"/>
        <w:numPr>
          <w:ilvl w:val="0"/>
          <w:numId w:val="1"/>
        </w:numPr>
        <w:tabs>
          <w:tab w:pos="590" w:val="left" w:leader="none"/>
        </w:tabs>
        <w:spacing w:line="240" w:lineRule="auto" w:before="0" w:after="0"/>
        <w:ind w:left="590" w:right="0" w:hanging="448"/>
        <w:jc w:val="left"/>
      </w:pPr>
      <w:bookmarkStart w:name="Záverečné ustanovenia" w:id="6"/>
      <w:bookmarkEnd w:id="6"/>
      <w:r>
        <w:rPr>
          <w:b w:val="0"/>
        </w:rPr>
      </w:r>
      <w:r>
        <w:rPr>
          <w:w w:val="115"/>
        </w:rPr>
        <w:t>Záverečné</w:t>
      </w:r>
      <w:r>
        <w:rPr>
          <w:spacing w:val="-6"/>
          <w:w w:val="115"/>
        </w:rPr>
        <w:t> </w:t>
      </w:r>
      <w:r>
        <w:rPr>
          <w:spacing w:val="-2"/>
          <w:w w:val="115"/>
        </w:rPr>
        <w:t>ustanovenia</w:t>
      </w:r>
    </w:p>
    <w:p>
      <w:pPr>
        <w:pStyle w:val="ListParagraph"/>
        <w:numPr>
          <w:ilvl w:val="1"/>
          <w:numId w:val="1"/>
        </w:numPr>
        <w:tabs>
          <w:tab w:pos="739" w:val="left" w:leader="none"/>
        </w:tabs>
        <w:spacing w:line="240" w:lineRule="auto" w:before="241" w:after="0"/>
        <w:ind w:left="739" w:right="0" w:hanging="301"/>
        <w:jc w:val="left"/>
        <w:rPr>
          <w:sz w:val="24"/>
        </w:rPr>
      </w:pPr>
      <w:r>
        <w:rPr>
          <w:w w:val="105"/>
          <w:sz w:val="24"/>
        </w:rPr>
        <w:t>Tento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Reklamačný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poriadok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nadobúda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účinnosť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6.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mája</w:t>
      </w:r>
      <w:r>
        <w:rPr>
          <w:spacing w:val="9"/>
          <w:w w:val="105"/>
          <w:sz w:val="24"/>
        </w:rPr>
        <w:t> </w:t>
      </w:r>
      <w:r>
        <w:rPr>
          <w:spacing w:val="-2"/>
          <w:w w:val="105"/>
          <w:sz w:val="24"/>
        </w:rPr>
        <w:t>2025.</w:t>
      </w:r>
    </w:p>
    <w:p>
      <w:pPr>
        <w:pStyle w:val="ListParagraph"/>
        <w:numPr>
          <w:ilvl w:val="1"/>
          <w:numId w:val="1"/>
        </w:numPr>
        <w:tabs>
          <w:tab w:pos="740" w:val="left" w:leader="none"/>
        </w:tabs>
        <w:spacing w:line="252" w:lineRule="auto" w:before="212" w:after="0"/>
        <w:ind w:left="740" w:right="140" w:hanging="302"/>
        <w:jc w:val="both"/>
        <w:rPr>
          <w:sz w:val="24"/>
        </w:rPr>
      </w:pPr>
      <w:r>
        <w:rPr>
          <w:w w:val="105"/>
          <w:sz w:val="24"/>
        </w:rPr>
        <w:t>Prevádzkovateľ</w:t>
      </w:r>
      <w:r>
        <w:rPr>
          <w:w w:val="105"/>
          <w:sz w:val="24"/>
        </w:rPr>
        <w:t> si</w:t>
      </w:r>
      <w:r>
        <w:rPr>
          <w:w w:val="105"/>
          <w:sz w:val="24"/>
        </w:rPr>
        <w:t> vyhradzuje</w:t>
      </w:r>
      <w:r>
        <w:rPr>
          <w:w w:val="105"/>
          <w:sz w:val="24"/>
        </w:rPr>
        <w:t> právo</w:t>
      </w:r>
      <w:r>
        <w:rPr>
          <w:w w:val="105"/>
          <w:sz w:val="24"/>
        </w:rPr>
        <w:t> aktualizovať</w:t>
      </w:r>
      <w:r>
        <w:rPr>
          <w:w w:val="105"/>
          <w:sz w:val="24"/>
        </w:rPr>
        <w:t> tento</w:t>
      </w:r>
      <w:r>
        <w:rPr>
          <w:w w:val="105"/>
          <w:sz w:val="24"/>
        </w:rPr>
        <w:t> dokument,</w:t>
      </w:r>
      <w:r>
        <w:rPr>
          <w:w w:val="105"/>
          <w:sz w:val="24"/>
        </w:rPr>
        <w:t> pričom</w:t>
      </w:r>
      <w:r>
        <w:rPr>
          <w:w w:val="105"/>
          <w:sz w:val="24"/>
        </w:rPr>
        <w:t> zmeny budú zverejnené na </w:t>
      </w:r>
      <w:hyperlink r:id="rId6">
        <w:r>
          <w:rPr>
            <w:w w:val="105"/>
            <w:sz w:val="24"/>
          </w:rPr>
          <w:t>www.autocasa.sk</w:t>
        </w:r>
      </w:hyperlink>
      <w:r>
        <w:rPr>
          <w:w w:val="105"/>
          <w:sz w:val="24"/>
        </w:rPr>
        <w:t>.</w:t>
      </w:r>
    </w:p>
    <w:sectPr>
      <w:pgSz w:w="11910" w:h="16840"/>
      <w:pgMar w:header="613" w:footer="0" w:top="1180" w:bottom="2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3296">
              <wp:simplePos x="0" y="0"/>
              <wp:positionH relativeFrom="page">
                <wp:posOffset>899998</wp:posOffset>
              </wp:positionH>
              <wp:positionV relativeFrom="page">
                <wp:posOffset>617842</wp:posOffset>
              </wp:positionV>
              <wp:extent cx="5760085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760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085" h="0">
                            <a:moveTo>
                              <a:pt x="0" y="0"/>
                            </a:moveTo>
                            <a:lnTo>
                              <a:pt x="5759996" y="0"/>
                            </a:lnTo>
                          </a:path>
                        </a:pathLst>
                      </a:custGeom>
                      <a:ln w="506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73184" from="70.865997pt,48.649014pt" to="524.408997pt,48.649014pt" stroked="true" strokeweight=".398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3808">
              <wp:simplePos x="0" y="0"/>
              <wp:positionH relativeFrom="page">
                <wp:posOffset>887298</wp:posOffset>
              </wp:positionH>
              <wp:positionV relativeFrom="page">
                <wp:posOffset>376459</wp:posOffset>
              </wp:positionV>
              <wp:extent cx="2301240" cy="2393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301240" cy="239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65"/>
                            <w:ind w:left="20" w:firstLine="0"/>
                          </w:pPr>
                          <w:r>
                            <w:rPr>
                              <w:w w:val="105"/>
                            </w:rPr>
                            <w:t>Reklamačný</w:t>
                          </w:r>
                          <w:r>
                            <w:rPr>
                              <w:spacing w:val="1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poriadok</w:t>
                          </w:r>
                          <w:r>
                            <w:rPr>
                              <w:spacing w:val="1"/>
                              <w:w w:val="105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AutoCasa.sk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9.865997pt;margin-top:29.642504pt;width:181.2pt;height:18.850pt;mso-position-horizontal-relative:page;mso-position-vertical-relative:page;z-index:-1577267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65"/>
                      <w:ind w:left="20" w:firstLine="0"/>
                    </w:pPr>
                    <w:r>
                      <w:rPr>
                        <w:w w:val="105"/>
                      </w:rPr>
                      <w:t>Reklamačný</w:t>
                    </w:r>
                    <w:r>
                      <w:rPr>
                        <w:spacing w:val="1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poriadok</w:t>
                    </w:r>
                    <w:r>
                      <w:rPr>
                        <w:spacing w:val="1"/>
                        <w:w w:val="105"/>
                      </w:rPr>
                      <w:t> </w:t>
                    </w:r>
                    <w:r>
                      <w:rPr>
                        <w:spacing w:val="-2"/>
                        <w:w w:val="105"/>
                      </w:rPr>
                      <w:t>AutoCasa.sk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4320">
              <wp:simplePos x="0" y="0"/>
              <wp:positionH relativeFrom="page">
                <wp:posOffset>6299720</wp:posOffset>
              </wp:positionH>
              <wp:positionV relativeFrom="page">
                <wp:posOffset>376459</wp:posOffset>
              </wp:positionV>
              <wp:extent cx="373380" cy="23939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73380" cy="239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65"/>
                            <w:ind w:left="60" w:firstLine="0"/>
                          </w:pPr>
                          <w:r>
                            <w:rPr>
                              <w:w w:val="110"/>
                            </w:rPr>
                            <w:fldChar w:fldCharType="begin"/>
                          </w:r>
                          <w:r>
                            <w:rPr>
                              <w:w w:val="110"/>
                            </w:rPr>
                            <w:instrText> PAGE </w:instrText>
                          </w:r>
                          <w:r>
                            <w:rPr>
                              <w:w w:val="110"/>
                            </w:rPr>
                            <w:fldChar w:fldCharType="separate"/>
                          </w:r>
                          <w:r>
                            <w:rPr>
                              <w:w w:val="110"/>
                            </w:rPr>
                            <w:t>1</w:t>
                          </w:r>
                          <w:r>
                            <w:rPr>
                              <w:w w:val="110"/>
                            </w:rPr>
                            <w:fldChar w:fldCharType="end"/>
                          </w:r>
                          <w:r>
                            <w:rPr>
                              <w:spacing w:val="-18"/>
                              <w:w w:val="155"/>
                            </w:rPr>
                            <w:t> </w:t>
                          </w:r>
                          <w:r>
                            <w:rPr>
                              <w:w w:val="155"/>
                            </w:rPr>
                            <w:t>/</w:t>
                          </w:r>
                          <w:r>
                            <w:rPr>
                              <w:spacing w:val="-16"/>
                              <w:w w:val="155"/>
                            </w:rPr>
                            <w:t> </w:t>
                          </w:r>
                          <w:hyperlink w:history="true" w:anchor="_bookmark0">
                            <w:r>
                              <w:rPr>
                                <w:spacing w:val="-12"/>
                                <w:w w:val="110"/>
                              </w:rPr>
                              <w:fldChar w:fldCharType="begin"/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instrText> NUMPAGES </w:instrTex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fldChar w:fldCharType="separate"/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>2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fldChar w:fldCharType="end"/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6.040985pt;margin-top:29.642504pt;width:29.4pt;height:18.850pt;mso-position-horizontal-relative:page;mso-position-vertical-relative:page;z-index:-15772160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65"/>
                      <w:ind w:left="60" w:firstLine="0"/>
                    </w:pPr>
                    <w:r>
                      <w:rPr>
                        <w:w w:val="110"/>
                      </w:rPr>
                      <w:fldChar w:fldCharType="begin"/>
                    </w:r>
                    <w:r>
                      <w:rPr>
                        <w:w w:val="110"/>
                      </w:rPr>
                      <w:instrText> PAGE </w:instrText>
                    </w:r>
                    <w:r>
                      <w:rPr>
                        <w:w w:val="110"/>
                      </w:rPr>
                      <w:fldChar w:fldCharType="separate"/>
                    </w:r>
                    <w:r>
                      <w:rPr>
                        <w:w w:val="110"/>
                      </w:rPr>
                      <w:t>1</w:t>
                    </w:r>
                    <w:r>
                      <w:rPr>
                        <w:w w:val="110"/>
                      </w:rPr>
                      <w:fldChar w:fldCharType="end"/>
                    </w:r>
                    <w:r>
                      <w:rPr>
                        <w:spacing w:val="-18"/>
                        <w:w w:val="155"/>
                      </w:rPr>
                      <w:t> </w:t>
                    </w:r>
                    <w:r>
                      <w:rPr>
                        <w:w w:val="155"/>
                      </w:rPr>
                      <w:t>/</w:t>
                    </w:r>
                    <w:r>
                      <w:rPr>
                        <w:spacing w:val="-16"/>
                        <w:w w:val="155"/>
                      </w:rPr>
                      <w:t> </w:t>
                    </w:r>
                    <w:hyperlink w:history="true" w:anchor="_bookmark0">
                      <w:r>
                        <w:rPr>
                          <w:spacing w:val="-12"/>
                          <w:w w:val="110"/>
                        </w:rPr>
                        <w:fldChar w:fldCharType="begin"/>
                      </w:r>
                      <w:r>
                        <w:rPr>
                          <w:spacing w:val="-12"/>
                          <w:w w:val="110"/>
                        </w:rPr>
                        <w:instrText> NUMPAGES </w:instrText>
                      </w:r>
                      <w:r>
                        <w:rPr>
                          <w:spacing w:val="-12"/>
                          <w:w w:val="110"/>
                        </w:rPr>
                        <w:fldChar w:fldCharType="separate"/>
                      </w:r>
                      <w:r>
                        <w:rPr>
                          <w:spacing w:val="-12"/>
                          <w:w w:val="110"/>
                        </w:rPr>
                        <w:t>2</w:t>
                      </w:r>
                      <w:r>
                        <w:rPr>
                          <w:spacing w:val="-12"/>
                          <w:w w:val="110"/>
                        </w:rPr>
                        <w:fldChar w:fldCharType="end"/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590" w:hanging="449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15"/>
        <w:sz w:val="28"/>
        <w:szCs w:val="28"/>
        <w:lang w:val="sk-SK" w:eastAsia="en-US" w:bidi="ar-SA"/>
      </w:rPr>
    </w:lvl>
    <w:lvl w:ilvl="1">
      <w:start w:val="1"/>
      <w:numFmt w:val="decimal"/>
      <w:lvlText w:val="%2."/>
      <w:lvlJc w:val="left"/>
      <w:pPr>
        <w:ind w:left="740" w:hanging="30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1"/>
        <w:sz w:val="24"/>
        <w:szCs w:val="24"/>
        <w:lang w:val="sk-SK" w:eastAsia="en-US" w:bidi="ar-SA"/>
      </w:rPr>
    </w:lvl>
    <w:lvl w:ilvl="2">
      <w:start w:val="0"/>
      <w:numFmt w:val="bullet"/>
      <w:lvlText w:val="•"/>
      <w:lvlJc w:val="left"/>
      <w:pPr>
        <w:ind w:left="1265" w:hanging="30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216"/>
        <w:sz w:val="24"/>
        <w:szCs w:val="24"/>
        <w:lang w:val="sk-SK" w:eastAsia="en-US" w:bidi="ar-SA"/>
      </w:rPr>
    </w:lvl>
    <w:lvl w:ilvl="3">
      <w:start w:val="0"/>
      <w:numFmt w:val="bullet"/>
      <w:lvlText w:val="•"/>
      <w:lvlJc w:val="left"/>
      <w:pPr>
        <w:ind w:left="2271" w:hanging="302"/>
      </w:pPr>
      <w:rPr>
        <w:rFonts w:hint="default"/>
        <w:lang w:val="sk-SK" w:eastAsia="en-US" w:bidi="ar-SA"/>
      </w:rPr>
    </w:lvl>
    <w:lvl w:ilvl="4">
      <w:start w:val="0"/>
      <w:numFmt w:val="bullet"/>
      <w:lvlText w:val="•"/>
      <w:lvlJc w:val="left"/>
      <w:pPr>
        <w:ind w:left="3283" w:hanging="302"/>
      </w:pPr>
      <w:rPr>
        <w:rFonts w:hint="default"/>
        <w:lang w:val="sk-SK" w:eastAsia="en-US" w:bidi="ar-SA"/>
      </w:rPr>
    </w:lvl>
    <w:lvl w:ilvl="5">
      <w:start w:val="0"/>
      <w:numFmt w:val="bullet"/>
      <w:lvlText w:val="•"/>
      <w:lvlJc w:val="left"/>
      <w:pPr>
        <w:ind w:left="4295" w:hanging="302"/>
      </w:pPr>
      <w:rPr>
        <w:rFonts w:hint="default"/>
        <w:lang w:val="sk-SK" w:eastAsia="en-US" w:bidi="ar-SA"/>
      </w:rPr>
    </w:lvl>
    <w:lvl w:ilvl="6">
      <w:start w:val="0"/>
      <w:numFmt w:val="bullet"/>
      <w:lvlText w:val="•"/>
      <w:lvlJc w:val="left"/>
      <w:pPr>
        <w:ind w:left="5307" w:hanging="302"/>
      </w:pPr>
      <w:rPr>
        <w:rFonts w:hint="default"/>
        <w:lang w:val="sk-SK" w:eastAsia="en-US" w:bidi="ar-SA"/>
      </w:rPr>
    </w:lvl>
    <w:lvl w:ilvl="7">
      <w:start w:val="0"/>
      <w:numFmt w:val="bullet"/>
      <w:lvlText w:val="•"/>
      <w:lvlJc w:val="left"/>
      <w:pPr>
        <w:ind w:left="6319" w:hanging="302"/>
      </w:pPr>
      <w:rPr>
        <w:rFonts w:hint="default"/>
        <w:lang w:val="sk-SK" w:eastAsia="en-US" w:bidi="ar-SA"/>
      </w:rPr>
    </w:lvl>
    <w:lvl w:ilvl="8">
      <w:start w:val="0"/>
      <w:numFmt w:val="bullet"/>
      <w:lvlText w:val="•"/>
      <w:lvlJc w:val="left"/>
      <w:pPr>
        <w:ind w:left="7331" w:hanging="302"/>
      </w:pPr>
      <w:rPr>
        <w:rFonts w:hint="default"/>
        <w:lang w:val="sk-SK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sk-SK" w:eastAsia="en-US" w:bidi="ar-SA"/>
    </w:rPr>
  </w:style>
  <w:style w:styleId="BodyText" w:type="paragraph">
    <w:name w:val="Body Text"/>
    <w:basedOn w:val="Normal"/>
    <w:uiPriority w:val="1"/>
    <w:qFormat/>
    <w:pPr>
      <w:ind w:left="740" w:hanging="301"/>
    </w:pPr>
    <w:rPr>
      <w:rFonts w:ascii="Times New Roman" w:hAnsi="Times New Roman" w:eastAsia="Times New Roman" w:cs="Times New Roman"/>
      <w:sz w:val="24"/>
      <w:szCs w:val="24"/>
      <w:lang w:val="sk-SK" w:eastAsia="en-US" w:bidi="ar-SA"/>
    </w:rPr>
  </w:style>
  <w:style w:styleId="Heading1" w:type="paragraph">
    <w:name w:val="Heading 1"/>
    <w:basedOn w:val="Normal"/>
    <w:uiPriority w:val="1"/>
    <w:qFormat/>
    <w:pPr>
      <w:ind w:left="590" w:hanging="448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sk-SK" w:eastAsia="en-US" w:bidi="ar-SA"/>
    </w:rPr>
  </w:style>
  <w:style w:styleId="Title" w:type="paragraph">
    <w:name w:val="Title"/>
    <w:basedOn w:val="Normal"/>
    <w:uiPriority w:val="1"/>
    <w:qFormat/>
    <w:pPr>
      <w:spacing w:before="164"/>
      <w:jc w:val="center"/>
    </w:pPr>
    <w:rPr>
      <w:rFonts w:ascii="Times New Roman" w:hAnsi="Times New Roman" w:eastAsia="Times New Roman" w:cs="Times New Roman"/>
      <w:b/>
      <w:bCs/>
      <w:sz w:val="34"/>
      <w:szCs w:val="34"/>
      <w:lang w:val="sk-SK" w:eastAsia="en-US" w:bidi="ar-SA"/>
    </w:rPr>
  </w:style>
  <w:style w:styleId="ListParagraph" w:type="paragraph">
    <w:name w:val="List Paragraph"/>
    <w:basedOn w:val="Normal"/>
    <w:uiPriority w:val="1"/>
    <w:qFormat/>
    <w:pPr>
      <w:spacing w:before="241"/>
      <w:ind w:left="740" w:hanging="301"/>
    </w:pPr>
    <w:rPr>
      <w:rFonts w:ascii="Times New Roman" w:hAnsi="Times New Roman" w:eastAsia="Times New Roman" w:cs="Times New Roman"/>
      <w:lang w:val="sk-SK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sk-SK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s://www.autocasa.sk/" TargetMode="External"/><Relationship Id="rId7" Type="http://schemas.openxmlformats.org/officeDocument/2006/relationships/hyperlink" Target="mailto:info@autocasa.sk" TargetMode="External"/><Relationship Id="rId8" Type="http://schemas.openxmlformats.org/officeDocument/2006/relationships/hyperlink" Target="http://www.mhsr.sk/" TargetMode="External"/><Relationship Id="rId9" Type="http://schemas.openxmlformats.org/officeDocument/2006/relationships/hyperlink" Target="https://ec.europa.eu/consumers/odr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2025-05-06T13:35:03Z</dcterms:created>
  <dcterms:modified xsi:type="dcterms:W3CDTF">2025-05-06T13:35:03Z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2025-05-06T00:00:00Z</vt:filetime>
  </property>
  <property fmtid="{D5CDD505-2E9C-101B-9397-08002B2CF9AE}" pid="3" name="Creator">
    <vt:lpwstr>LaTeX with hyperref</vt:lpwstr>
  </property>
  <property fmtid="{D5CDD505-2E9C-101B-9397-08002B2CF9AE}" pid="4" name="Producer">
    <vt:lpwstr>xdvipdfmx (20220710)</vt:lpwstr>
  </property>
  <property fmtid="{D5CDD505-2E9C-101B-9397-08002B2CF9AE}" pid="5" name="LastSaved">
    <vt:filetime>2025-05-06T00:00:00Z</vt:filetime>
  </property>
</Properties>
</file>